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2E" w:rsidRPr="0045532E" w:rsidRDefault="0045532E" w:rsidP="0045532E">
      <w:pPr>
        <w:shd w:val="clear" w:color="auto" w:fill="FDFDFD"/>
        <w:spacing w:after="0" w:line="42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414141"/>
          <w:kern w:val="36"/>
          <w:sz w:val="45"/>
          <w:szCs w:val="45"/>
          <w:lang w:eastAsia="ru-RU"/>
        </w:rPr>
      </w:pPr>
      <w:bookmarkStart w:id="0" w:name="_GoBack"/>
      <w:r w:rsidRPr="00A91FD4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45532E">
        <w:rPr>
          <w:rFonts w:ascii="Arial" w:eastAsia="Times New Roman" w:hAnsi="Arial" w:cs="Arial"/>
          <w:color w:val="020202"/>
          <w:sz w:val="36"/>
          <w:szCs w:val="36"/>
          <w:lang w:val="en-US" w:eastAsia="ru-RU"/>
        </w:rPr>
        <w:t>VGD-II-150K33 - VGD-II-500K33</w:t>
      </w:r>
    </w:p>
    <w:bookmarkEnd w:id="0"/>
    <w:p w:rsidR="00D73DCF" w:rsidRDefault="00D73DCF"/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963"/>
        <w:gridCol w:w="1591"/>
        <w:gridCol w:w="1685"/>
        <w:gridCol w:w="1609"/>
        <w:gridCol w:w="1591"/>
        <w:gridCol w:w="1592"/>
        <w:gridCol w:w="1598"/>
        <w:gridCol w:w="1591"/>
      </w:tblGrid>
      <w:tr w:rsidR="0045532E" w:rsidRPr="002E3462" w:rsidTr="0045532E">
        <w:tc>
          <w:tcPr>
            <w:tcW w:w="3477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150K33</w:t>
            </w:r>
          </w:p>
        </w:tc>
        <w:tc>
          <w:tcPr>
            <w:tcW w:w="168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150K33*</w:t>
            </w:r>
          </w:p>
        </w:tc>
        <w:tc>
          <w:tcPr>
            <w:tcW w:w="16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200K33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250K33</w:t>
            </w:r>
          </w:p>
        </w:tc>
        <w:tc>
          <w:tcPr>
            <w:tcW w:w="15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300K33</w:t>
            </w:r>
          </w:p>
        </w:tc>
        <w:tc>
          <w:tcPr>
            <w:tcW w:w="159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400K33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VGD II 500K33</w:t>
            </w:r>
          </w:p>
        </w:tc>
      </w:tr>
      <w:tr w:rsidR="0045532E" w:rsidRPr="002E3462" w:rsidTr="0045532E">
        <w:tc>
          <w:tcPr>
            <w:tcW w:w="3477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Выходная мощность (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/кВт)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/ 150</w:t>
            </w:r>
          </w:p>
        </w:tc>
        <w:tc>
          <w:tcPr>
            <w:tcW w:w="168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/ 144</w:t>
            </w:r>
          </w:p>
        </w:tc>
        <w:tc>
          <w:tcPr>
            <w:tcW w:w="16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/ 200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/ 255</w:t>
            </w:r>
          </w:p>
        </w:tc>
        <w:tc>
          <w:tcPr>
            <w:tcW w:w="15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/ 300</w:t>
            </w:r>
          </w:p>
        </w:tc>
        <w:tc>
          <w:tcPr>
            <w:tcW w:w="159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/ 400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/ 500</w:t>
            </w:r>
          </w:p>
        </w:tc>
      </w:tr>
      <w:tr w:rsidR="0045532E" w:rsidRPr="002E3462" w:rsidTr="0045532E">
        <w:tc>
          <w:tcPr>
            <w:tcW w:w="3477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68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16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5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59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Входные параметры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входного соединения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Фазы +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Нейтраль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+ Заземление (3Ph + N + PE)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220/380, 230/400, 240/415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напряжений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Полная нагрузка: 304 до 478 Вольт (Фаза-Фаза)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нагрузка: 228 до 478 Вольт (Фаза-Фаза)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(Линейная зависимость: уменьшение допустимой величины подключаемой нагрузки при уменьшении величины входного напряжения)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/ 60 Гц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частоты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40 Гц до 70 Гц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мощности по входу под полной нагрузкой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&gt;0.99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КНИ входного тока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THDi</w:t>
            </w:r>
            <w:proofErr w:type="spellEnd"/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&lt;3% (Линейная нагрузка)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Выходные параметры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выходного соединения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Фазы +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Нейтраль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+ Заземление (3Ph + N + PE)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Выходное напряжение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220/380, 230/400, 240/415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Топология инвертора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Безтрансформаторная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IGBT-транзисторах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 инвертора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/ 60 Гц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Крест-фактор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3:01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КНИ выходного напряжения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THDv</w:t>
            </w:r>
            <w:proofErr w:type="spellEnd"/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&lt;1,5% Линейная нагрузка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&lt;6 (нелинейная нагрузка) в соответствии с IEC/EN62040-3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инвертора в режиме перегрузки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до 110%, 60мин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110% до 125%, 10мин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125% до 150%, 1мин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&gt;150%, 200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батарей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VRLA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заряда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Плавающий заряд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Номинальное батарейное напряжение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480VDC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Возможность установки внутренних батарей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Запуск от батарей (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Cold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Start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Температурная компенсация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зарядного устройства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20% от мощности ИБП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Байпасный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ввод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220/380, 230/400, 240/415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напряжений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умолчанию: -20% до +15%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Настраиваемые верхние пределы диапазона: +10%, +15%, +20%, +25%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Настраиваемые нижние пределы диапазона: -10%, -15%, -20%, -30%, -40%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/ 60 Гц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по частоте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Настраиваемый диапазон: ± 1Гц, ± 3Гц, ± 5Гц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в режиме перегрузки</w:t>
            </w:r>
          </w:p>
        </w:tc>
        <w:tc>
          <w:tcPr>
            <w:tcW w:w="4885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125% Длительное время</w:t>
            </w:r>
          </w:p>
        </w:tc>
        <w:tc>
          <w:tcPr>
            <w:tcW w:w="6372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110% Длительное время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85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125% ~ 130% до 10 мин</w:t>
            </w:r>
          </w:p>
        </w:tc>
        <w:tc>
          <w:tcPr>
            <w:tcW w:w="6372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110% ~ 125% до 5 мин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85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130% ~ 150% до 1 мин</w:t>
            </w:r>
          </w:p>
        </w:tc>
        <w:tc>
          <w:tcPr>
            <w:tcW w:w="6372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125% ~ 150% до 1 мин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85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&gt; 150%, 300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6372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 150%, 1 с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характеристики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КПД в режиме двойного преобразования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&gt;96%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КПД в режиме работы от батарей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&gt;96%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КПД в режиме высокой эффективности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&gt;99%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 для обслуживания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Фронтальный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Функция плавного старта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Возможность работы в параллельном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ежиме</w:t>
            </w:r>
            <w:proofErr w:type="spellEnd"/>
          </w:p>
        </w:tc>
        <w:tc>
          <w:tcPr>
            <w:tcW w:w="4885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7 устройств</w:t>
            </w:r>
          </w:p>
        </w:tc>
        <w:tc>
          <w:tcPr>
            <w:tcW w:w="318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5 устройств</w:t>
            </w:r>
          </w:p>
        </w:tc>
        <w:tc>
          <w:tcPr>
            <w:tcW w:w="3189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 устройств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Интерфейсы и отображение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Дисплей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Стандартно: Сенсорный экран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Стандартно: RS232 / RS485 / USB / Сухие контакты / Слот для SNMP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Опционально: SNMP-адаптер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Окружающая среда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рабочих температур (допустимая)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~ 40 °C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-40 ~ 70 °C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Тепловыделение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24515</w:t>
            </w:r>
          </w:p>
        </w:tc>
        <w:tc>
          <w:tcPr>
            <w:tcW w:w="168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24515</w:t>
            </w:r>
          </w:p>
        </w:tc>
        <w:tc>
          <w:tcPr>
            <w:tcW w:w="16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32755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40859</w:t>
            </w:r>
          </w:p>
        </w:tc>
        <w:tc>
          <w:tcPr>
            <w:tcW w:w="15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49030</w:t>
            </w:r>
          </w:p>
        </w:tc>
        <w:tc>
          <w:tcPr>
            <w:tcW w:w="159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65374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81717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Относительная влажность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~ 95% (Без конденсации)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 акустического шума на расстоянии 1 м от поверхности устройства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дБ @ 100% нагрузка / 69 дБ @ 45% нагрузка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снижения мощности: &lt;1000м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мощности на 1% на каждые 100м от 1000 до 2000м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IP20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11257" w:type="dxa"/>
            <w:gridSpan w:val="7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Черный, RAL 7021</w:t>
            </w: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параметры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Размеры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650*960*1600</w:t>
            </w:r>
          </w:p>
        </w:tc>
        <w:tc>
          <w:tcPr>
            <w:tcW w:w="168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650*960*1600</w:t>
            </w:r>
          </w:p>
        </w:tc>
        <w:tc>
          <w:tcPr>
            <w:tcW w:w="16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600*960*1600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650*960*2000</w:t>
            </w:r>
          </w:p>
        </w:tc>
        <w:tc>
          <w:tcPr>
            <w:tcW w:w="159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650*960*2000</w:t>
            </w:r>
          </w:p>
        </w:tc>
        <w:tc>
          <w:tcPr>
            <w:tcW w:w="159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1300*1100*2000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1300*1100*2000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(Ш*Г*В) (мм)</w:t>
            </w: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(кг)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8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59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9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батарей)</w:t>
            </w: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32E" w:rsidRPr="002E3462" w:rsidTr="0045532E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Физические параметры в </w:t>
            </w:r>
            <w:proofErr w:type="spellStart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траспортной</w:t>
            </w:r>
            <w:proofErr w:type="spellEnd"/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упаковке</w:t>
            </w: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Размеры в упаковке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800*1110*1810</w:t>
            </w:r>
          </w:p>
        </w:tc>
        <w:tc>
          <w:tcPr>
            <w:tcW w:w="168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800*1110*1810</w:t>
            </w:r>
          </w:p>
        </w:tc>
        <w:tc>
          <w:tcPr>
            <w:tcW w:w="16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800*1110*1810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800*1110*2210</w:t>
            </w:r>
          </w:p>
        </w:tc>
        <w:tc>
          <w:tcPr>
            <w:tcW w:w="159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800*1110*2210</w:t>
            </w:r>
          </w:p>
        </w:tc>
        <w:tc>
          <w:tcPr>
            <w:tcW w:w="159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1450*1260*2210</w:t>
            </w:r>
          </w:p>
        </w:tc>
        <w:tc>
          <w:tcPr>
            <w:tcW w:w="1591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1450*1260*2210</w:t>
            </w: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(Ш*Г*В) (мм)</w:t>
            </w: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32E" w:rsidRPr="002E3462" w:rsidTr="0045532E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в упаковке (кг)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8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5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59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59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5532E" w:rsidRPr="002E3462" w:rsidRDefault="0045532E" w:rsidP="00DD76AF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</w:t>
            </w:r>
          </w:p>
        </w:tc>
      </w:tr>
    </w:tbl>
    <w:p w:rsidR="0045532E" w:rsidRPr="002E3462" w:rsidRDefault="0045532E" w:rsidP="0045532E">
      <w:pPr>
        <w:shd w:val="clear" w:color="auto" w:fill="FDFDFD"/>
        <w:spacing w:before="255" w:after="255" w:line="300" w:lineRule="atLeast"/>
        <w:rPr>
          <w:rFonts w:ascii="Arial" w:eastAsia="Times New Roman" w:hAnsi="Arial" w:cs="Arial"/>
          <w:color w:val="808285"/>
          <w:sz w:val="21"/>
          <w:szCs w:val="21"/>
          <w:lang w:eastAsia="ru-RU"/>
        </w:rPr>
      </w:pPr>
      <w:r w:rsidRPr="002E3462">
        <w:rPr>
          <w:rFonts w:ascii="Arial" w:eastAsia="Times New Roman" w:hAnsi="Arial" w:cs="Arial"/>
          <w:color w:val="808285"/>
          <w:sz w:val="21"/>
          <w:szCs w:val="21"/>
          <w:lang w:eastAsia="ru-RU"/>
        </w:rPr>
        <w:t xml:space="preserve">Для ИБП VGD-II-150K33 возможна конфигурация мощности 160 </w:t>
      </w:r>
      <w:proofErr w:type="spellStart"/>
      <w:r w:rsidRPr="002E3462">
        <w:rPr>
          <w:rFonts w:ascii="Arial" w:eastAsia="Times New Roman" w:hAnsi="Arial" w:cs="Arial"/>
          <w:color w:val="808285"/>
          <w:sz w:val="21"/>
          <w:szCs w:val="21"/>
          <w:lang w:eastAsia="ru-RU"/>
        </w:rPr>
        <w:t>кВА</w:t>
      </w:r>
      <w:proofErr w:type="spellEnd"/>
      <w:r w:rsidRPr="002E3462">
        <w:rPr>
          <w:rFonts w:ascii="Arial" w:eastAsia="Times New Roman" w:hAnsi="Arial" w:cs="Arial"/>
          <w:color w:val="808285"/>
          <w:sz w:val="21"/>
          <w:szCs w:val="21"/>
          <w:lang w:eastAsia="ru-RU"/>
        </w:rPr>
        <w:t>, при этом активная мощность будет снижена до 144 кВт. Данная конфигурация может быть настроена представителем производителя при первоначальном запуске ИБП.</w:t>
      </w:r>
    </w:p>
    <w:p w:rsidR="0045532E" w:rsidRPr="002E3462" w:rsidRDefault="0045532E" w:rsidP="0045532E">
      <w:pPr>
        <w:shd w:val="clear" w:color="auto" w:fill="FDFDFD"/>
        <w:spacing w:after="0" w:line="195" w:lineRule="atLeast"/>
        <w:ind w:left="300" w:right="300"/>
        <w:rPr>
          <w:rFonts w:ascii="Arial" w:eastAsia="Times New Roman" w:hAnsi="Arial" w:cs="Arial"/>
          <w:color w:val="808285"/>
          <w:sz w:val="17"/>
          <w:szCs w:val="17"/>
          <w:lang w:eastAsia="ru-RU"/>
        </w:rPr>
      </w:pPr>
      <w:r w:rsidRPr="002E3462">
        <w:rPr>
          <w:rFonts w:ascii="Arial" w:eastAsia="Times New Roman" w:hAnsi="Arial" w:cs="Arial"/>
          <w:b/>
          <w:bCs/>
          <w:color w:val="020202"/>
          <w:sz w:val="18"/>
          <w:szCs w:val="18"/>
          <w:lang w:eastAsia="ru-RU"/>
        </w:rPr>
        <w:t>* Примечание:</w:t>
      </w:r>
    </w:p>
    <w:p w:rsidR="0045532E" w:rsidRPr="002E3462" w:rsidRDefault="0045532E" w:rsidP="0045532E">
      <w:pPr>
        <w:shd w:val="clear" w:color="auto" w:fill="FDFDFD"/>
        <w:spacing w:after="0" w:line="195" w:lineRule="atLeast"/>
        <w:ind w:left="300" w:right="300"/>
        <w:rPr>
          <w:rFonts w:ascii="Arial" w:eastAsia="Times New Roman" w:hAnsi="Arial" w:cs="Arial"/>
          <w:color w:val="808285"/>
          <w:sz w:val="17"/>
          <w:szCs w:val="17"/>
          <w:lang w:eastAsia="ru-RU"/>
        </w:rPr>
      </w:pPr>
      <w:r w:rsidRPr="002E3462">
        <w:rPr>
          <w:rFonts w:ascii="Arial" w:eastAsia="Times New Roman" w:hAnsi="Arial" w:cs="Arial"/>
          <w:color w:val="808285"/>
          <w:sz w:val="17"/>
          <w:szCs w:val="17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2E3462">
        <w:rPr>
          <w:rFonts w:ascii="Arial" w:eastAsia="Times New Roman" w:hAnsi="Arial" w:cs="Arial"/>
          <w:color w:val="808285"/>
          <w:sz w:val="17"/>
          <w:szCs w:val="17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2E3462">
        <w:rPr>
          <w:rFonts w:ascii="Arial" w:eastAsia="Times New Roman" w:hAnsi="Arial" w:cs="Arial"/>
          <w:color w:val="808285"/>
          <w:sz w:val="17"/>
          <w:szCs w:val="17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2E3462">
        <w:rPr>
          <w:rFonts w:ascii="Arial" w:eastAsia="Times New Roman" w:hAnsi="Arial" w:cs="Arial"/>
          <w:color w:val="808285"/>
          <w:sz w:val="17"/>
          <w:szCs w:val="17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2E3462">
        <w:rPr>
          <w:rFonts w:ascii="Arial" w:eastAsia="Times New Roman" w:hAnsi="Arial" w:cs="Arial"/>
          <w:color w:val="808285"/>
          <w:sz w:val="17"/>
          <w:szCs w:val="17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45532E" w:rsidRDefault="0045532E"/>
    <w:sectPr w:rsidR="0045532E" w:rsidSect="004553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E"/>
    <w:rsid w:val="0045532E"/>
    <w:rsid w:val="00D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A437"/>
  <w15:chartTrackingRefBased/>
  <w15:docId w15:val="{E865356F-AACC-4187-8FE2-F3846AE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2E"/>
  </w:style>
  <w:style w:type="paragraph" w:styleId="1">
    <w:name w:val="heading 1"/>
    <w:basedOn w:val="a"/>
    <w:link w:val="10"/>
    <w:uiPriority w:val="9"/>
    <w:qFormat/>
    <w:rsid w:val="00455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2022-07-28T08:44:00Z</dcterms:created>
  <dcterms:modified xsi:type="dcterms:W3CDTF">2022-07-28T08:46:00Z</dcterms:modified>
</cp:coreProperties>
</file>