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D4" w:rsidRPr="00A91FD4" w:rsidRDefault="00A91FD4" w:rsidP="00A91FD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bookmarkStart w:id="0" w:name="_GoBack"/>
      <w:r w:rsidRPr="00A91FD4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>Таблица технических характеристик </w:t>
      </w:r>
      <w:r w:rsidRPr="00A91FD4">
        <w:rPr>
          <w:rFonts w:ascii="Arial" w:eastAsia="Times New Roman" w:hAnsi="Arial" w:cs="Arial"/>
          <w:color w:val="020202"/>
          <w:sz w:val="36"/>
          <w:szCs w:val="36"/>
          <w:lang w:eastAsia="ru-RU"/>
        </w:rPr>
        <w:t>VGD-II-60K33 - VGD-II-120K33</w:t>
      </w:r>
    </w:p>
    <w:bookmarkEnd w:id="0"/>
    <w:p w:rsidR="00A91FD4" w:rsidRPr="00A91FD4" w:rsidRDefault="00A91FD4" w:rsidP="00A9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86"/>
        <w:gridCol w:w="1560"/>
        <w:gridCol w:w="1417"/>
        <w:gridCol w:w="1418"/>
        <w:gridCol w:w="1417"/>
        <w:gridCol w:w="1418"/>
      </w:tblGrid>
      <w:tr w:rsidR="00A91FD4" w:rsidRPr="00A91FD4" w:rsidTr="00A91FD4">
        <w:tc>
          <w:tcPr>
            <w:tcW w:w="3961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 II 60K33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 II 80K33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 II 90K33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 II 100K33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b/>
                <w:bCs/>
                <w:color w:val="414141"/>
                <w:sz w:val="17"/>
                <w:szCs w:val="17"/>
                <w:lang w:eastAsia="ru-RU"/>
              </w:rPr>
              <w:t>VGD II 120K33</w:t>
            </w:r>
          </w:p>
        </w:tc>
      </w:tr>
      <w:tr w:rsidR="00A91FD4" w:rsidRPr="00A91FD4" w:rsidTr="00A91FD4">
        <w:tc>
          <w:tcPr>
            <w:tcW w:w="3961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Выходная мощность(</w:t>
            </w:r>
            <w:proofErr w:type="spellStart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кВА</w:t>
            </w:r>
            <w:proofErr w:type="spellEnd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/кВт)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 / 60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80 / 80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90 / 90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100 / 100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120 / 120</w:t>
            </w:r>
          </w:p>
        </w:tc>
      </w:tr>
      <w:tr w:rsidR="00A91FD4" w:rsidRPr="00A91FD4" w:rsidTr="00A91FD4">
        <w:tc>
          <w:tcPr>
            <w:tcW w:w="3961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Коэффициент мощности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1.0</w:t>
            </w:r>
          </w:p>
        </w:tc>
      </w:tr>
      <w:tr w:rsidR="00A91FD4" w:rsidRPr="00A91FD4" w:rsidTr="00A91FD4">
        <w:tc>
          <w:tcPr>
            <w:tcW w:w="167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Входные параметры</w:t>
            </w: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входного соединения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3 Фазы + </w:t>
            </w:r>
            <w:proofErr w:type="spellStart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Нейтраль</w:t>
            </w:r>
            <w:proofErr w:type="spellEnd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+ Заземление (3Ph + N + PE)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Напряжение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220/380,  230/400, 240/415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напряжений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Полная нагрузка: 304 до 478 Вольт (Фаза-Фаза)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Частичная нагрузка: 228 до 478 Вольт (Фаза-Фаза)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(Линейная зависимость: уменьшение допустимой величины подключаемой нагрузки при уменьшении величины входного напряжения)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частоты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от 40 Гц до 70 Гц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Коэффициент мощности по входу под полной нагрузкой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&gt;0.99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КНИ входного тока </w:t>
            </w:r>
            <w:proofErr w:type="spellStart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THDi</w:t>
            </w:r>
            <w:proofErr w:type="spellEnd"/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&lt;3% (Линейная нагрузка)</w:t>
            </w:r>
          </w:p>
        </w:tc>
      </w:tr>
      <w:tr w:rsidR="00A91FD4" w:rsidRPr="00A91FD4" w:rsidTr="00A91FD4">
        <w:tc>
          <w:tcPr>
            <w:tcW w:w="167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Выходные параметры</w:t>
            </w: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выходного соединения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3 Фазы + </w:t>
            </w:r>
            <w:proofErr w:type="spellStart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Нейтраль</w:t>
            </w:r>
            <w:proofErr w:type="spellEnd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+ Заземление (3Ph + N + PE)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Выходное напряжение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220/380,  230/400, 240/415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Топология инвертора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proofErr w:type="spellStart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Безтрансформаторная</w:t>
            </w:r>
            <w:proofErr w:type="spellEnd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на IGBT-транзисторах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инвертора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Крест-фактор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3:1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КНИ выходного напряжения </w:t>
            </w:r>
            <w:proofErr w:type="spellStart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THDv</w:t>
            </w:r>
            <w:proofErr w:type="spellEnd"/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&lt;1,5% Линейная нагрузка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&lt;6 (нелинейная нагрузка) в соответствии с IEC/EN62040-3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Работа инвертора в режиме перегрузки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100% до 110%, 60мин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110% до 125%, 10мин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125% до 150%, 1мин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&gt;150%, 200 </w:t>
            </w:r>
            <w:proofErr w:type="spellStart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A91FD4" w:rsidRPr="00A91FD4" w:rsidTr="00A91FD4">
        <w:tc>
          <w:tcPr>
            <w:tcW w:w="167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Аккумуляторная батарея</w:t>
            </w: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батарей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VRLA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Способ заряда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Плавающий заряд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Номинальное батарейное напряжение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480VDC (± 240 В)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Возможность установки внутренних батарей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Нет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Запуск от батарей (</w:t>
            </w:r>
            <w:proofErr w:type="spellStart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Cold</w:t>
            </w:r>
            <w:proofErr w:type="spellEnd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Start</w:t>
            </w:r>
            <w:proofErr w:type="spellEnd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Температурная компенсация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Мощность зарядного устройства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 20% от мощности ИБП</w:t>
            </w:r>
          </w:p>
        </w:tc>
      </w:tr>
      <w:tr w:rsidR="00A91FD4" w:rsidRPr="00A91FD4" w:rsidTr="00A91FD4">
        <w:tc>
          <w:tcPr>
            <w:tcW w:w="167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proofErr w:type="spellStart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lastRenderedPageBreak/>
              <w:t>Байпасный</w:t>
            </w:r>
            <w:proofErr w:type="spellEnd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ввод</w:t>
            </w: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Напряжение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220/380, 230/400, 240/415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напряжений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 умолчанию: -20% до +15%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Настраиваемые верхние пределы диапазона: +10%, +15%, +20%, +25%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Настраиваемые нижние пределы диапазона: -10%, -15%, -20%, -30%, -40%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/ 60 Гц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по частоте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Настраиваемый диапазон: ± 1Гц, ± 3Гц, ± 5Гц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Работа в режиме перегрузки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125% Длительное время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125% ~ 130% до 10 мин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130% ~ 150% до 1 мин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&gt; 150%, 300 </w:t>
            </w:r>
            <w:proofErr w:type="spellStart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A91FD4" w:rsidRPr="00A91FD4" w:rsidTr="00A91FD4">
        <w:tc>
          <w:tcPr>
            <w:tcW w:w="167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Общие характеристики</w:t>
            </w: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КПД в режиме двойного преобразования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 96%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КПД в режиме работы от батарей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 96%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КПД в режиме высокой эффективности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&gt;99%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Доступ для обслуживания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Фронтальный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Функция плавного старта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Возможность работы в параллельном </w:t>
            </w:r>
            <w:proofErr w:type="spellStart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ежиме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 8 устройств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 7 устройств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 8 устройств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До 7 устройств</w:t>
            </w:r>
          </w:p>
        </w:tc>
      </w:tr>
      <w:tr w:rsidR="00A91FD4" w:rsidRPr="00A91FD4" w:rsidTr="00A91FD4">
        <w:tc>
          <w:tcPr>
            <w:tcW w:w="167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Интерфейсы и отображение</w:t>
            </w: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Дисплей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Стандартно: Сенсорный экран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Интерфейсы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Стандартно: RS232 / RS485 / USB / Сухие контакты / Слот для SNMP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Опционально: SNMP-адаптер </w:t>
            </w:r>
          </w:p>
        </w:tc>
      </w:tr>
      <w:tr w:rsidR="00A91FD4" w:rsidRPr="00A91FD4" w:rsidTr="00A91FD4">
        <w:tc>
          <w:tcPr>
            <w:tcW w:w="167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Окружающая среда</w:t>
            </w: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Диапазон рабочих температур (допустимая)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0 ~ 40 °C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Температура хранения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-40 ~ 70 °C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Тепловыделение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8735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13329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13136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16343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17469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Относительная влажность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0 ~ 95% (Без конденсации)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Уровень акустического шума на расстоянии 1 м от поверхности устройства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65 дБ @ 100% нагрузка / 62 дБ @ 45% нагрузка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Без снижения мощности: &lt;1000м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Уменьшение мощности на 1% на каждые 100м от 1000 до 2000м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Степень защиты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IP20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Цвет</w:t>
            </w:r>
          </w:p>
        </w:tc>
        <w:tc>
          <w:tcPr>
            <w:tcW w:w="7230" w:type="dxa"/>
            <w:gridSpan w:val="5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Черный, RAL 7021</w:t>
            </w:r>
          </w:p>
        </w:tc>
      </w:tr>
      <w:tr w:rsidR="00A91FD4" w:rsidRPr="00A91FD4" w:rsidTr="00A91FD4">
        <w:tc>
          <w:tcPr>
            <w:tcW w:w="167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Физические параметры</w:t>
            </w: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</w:t>
            </w:r>
          </w:p>
        </w:tc>
        <w:tc>
          <w:tcPr>
            <w:tcW w:w="1560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600*980*950</w:t>
            </w:r>
          </w:p>
        </w:tc>
        <w:tc>
          <w:tcPr>
            <w:tcW w:w="1417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600*980*1150</w:t>
            </w:r>
          </w:p>
        </w:tc>
        <w:tc>
          <w:tcPr>
            <w:tcW w:w="141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600*980*1400</w:t>
            </w:r>
          </w:p>
        </w:tc>
        <w:tc>
          <w:tcPr>
            <w:tcW w:w="1417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600*980*1150</w:t>
            </w:r>
          </w:p>
        </w:tc>
        <w:tc>
          <w:tcPr>
            <w:tcW w:w="141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600*980*1400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(Ш*Г*В) (мм)</w:t>
            </w: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(кг)</w:t>
            </w:r>
          </w:p>
        </w:tc>
        <w:tc>
          <w:tcPr>
            <w:tcW w:w="1560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1417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141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231</w:t>
            </w:r>
          </w:p>
        </w:tc>
        <w:tc>
          <w:tcPr>
            <w:tcW w:w="1417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1418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266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(Без батарей)</w:t>
            </w:r>
          </w:p>
        </w:tc>
        <w:tc>
          <w:tcPr>
            <w:tcW w:w="1560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</w:tr>
      <w:tr w:rsidR="00A91FD4" w:rsidRPr="00A91FD4" w:rsidTr="00A91FD4">
        <w:tc>
          <w:tcPr>
            <w:tcW w:w="1675" w:type="dxa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Физические параметры в </w:t>
            </w:r>
            <w:proofErr w:type="spellStart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траспортной</w:t>
            </w:r>
            <w:proofErr w:type="spellEnd"/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упаковке</w:t>
            </w: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 в упаковке</w:t>
            </w: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br/>
              <w:t>(Ш*Г*В) (мм)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755*1130*1160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755*1130*1615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755*1130*1615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750*1130*1370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ACAC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755*1130*1620</w:t>
            </w:r>
          </w:p>
        </w:tc>
      </w:tr>
      <w:tr w:rsidR="00A91FD4" w:rsidRPr="00A91FD4" w:rsidTr="00A91FD4">
        <w:tc>
          <w:tcPr>
            <w:tcW w:w="1675" w:type="dxa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в упаковке (кг)</w:t>
            </w:r>
          </w:p>
        </w:tc>
        <w:tc>
          <w:tcPr>
            <w:tcW w:w="1560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254</w:t>
            </w:r>
          </w:p>
        </w:tc>
        <w:tc>
          <w:tcPr>
            <w:tcW w:w="141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1FD4" w:rsidRPr="00A91FD4" w:rsidRDefault="00A91FD4" w:rsidP="00A91FD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A91FD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313</w:t>
            </w:r>
          </w:p>
        </w:tc>
      </w:tr>
    </w:tbl>
    <w:p w:rsidR="00A91FD4" w:rsidRPr="00A91FD4" w:rsidRDefault="00A91FD4" w:rsidP="00A91FD4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A91FD4">
        <w:rPr>
          <w:rFonts w:ascii="Arial" w:eastAsia="Times New Roman" w:hAnsi="Arial" w:cs="Arial"/>
          <w:color w:val="020202"/>
          <w:sz w:val="20"/>
          <w:szCs w:val="20"/>
          <w:lang w:eastAsia="ru-RU"/>
        </w:rPr>
        <w:t>* Примечание:</w:t>
      </w:r>
    </w:p>
    <w:p w:rsidR="00A91FD4" w:rsidRPr="00A91FD4" w:rsidRDefault="00A91FD4" w:rsidP="00A91FD4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A91FD4">
        <w:rPr>
          <w:rFonts w:ascii="Arial" w:eastAsia="Times New Roman" w:hAnsi="Arial" w:cs="Arial"/>
          <w:color w:val="414141"/>
          <w:sz w:val="20"/>
          <w:szCs w:val="20"/>
          <w:lang w:eastAsia="ru-RU"/>
        </w:rPr>
        <w:lastRenderedPageBreak/>
        <w:t>- Время работы в режиме батарейной поддержки может отличаться в зависимости от мощности и вида нагрузки, состояния сети электропитания, срока службы батарей, температуры окружающей среды и т.д.</w:t>
      </w:r>
      <w:r w:rsidRPr="00A91FD4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Установка и подключение трехфазного оборудования должно осуществляться только сертифицированными специалистами. Пожалуйста, обращайтесь в представительство POWERCOM в Москве или в Центральный сервисный центр.</w:t>
      </w:r>
      <w:r w:rsidRPr="00A91FD4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В связи с постоянной работой по улучшению свойств продукции технические характеристики могут быть изменены без предварительного уведомления с отражением в сопроводительной документации.</w:t>
      </w:r>
      <w:r w:rsidRPr="00A91FD4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Данная информация не является офертой и не может рассматриваться как гарантия производителя.</w:t>
      </w:r>
      <w:r w:rsidRPr="00A91FD4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Номинальное напряжение ИБП устанавливается в соответствии с региональными стандартами.</w:t>
      </w:r>
    </w:p>
    <w:p w:rsidR="001C7245" w:rsidRDefault="001C7245"/>
    <w:sectPr w:rsidR="001C7245" w:rsidSect="00A91FD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D4"/>
    <w:rsid w:val="001C7245"/>
    <w:rsid w:val="00A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5D10-5E8E-4578-9C0A-CBDEBB0E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91FD4"/>
    <w:rPr>
      <w:b/>
      <w:bCs/>
    </w:rPr>
  </w:style>
  <w:style w:type="paragraph" w:customStyle="1" w:styleId="note">
    <w:name w:val="note"/>
    <w:basedOn w:val="a"/>
    <w:rsid w:val="00A9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osy@iso-energo.ru</dc:creator>
  <cp:keywords/>
  <dc:description/>
  <cp:lastModifiedBy>osy@iso-energo.ru</cp:lastModifiedBy>
  <cp:revision>1</cp:revision>
  <dcterms:created xsi:type="dcterms:W3CDTF">2022-07-28T08:36:00Z</dcterms:created>
  <dcterms:modified xsi:type="dcterms:W3CDTF">2022-07-28T08:39:00Z</dcterms:modified>
</cp:coreProperties>
</file>